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013D97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57502A">
        <w:rPr>
          <w:rFonts w:ascii="Sylfaen" w:hAnsi="Sylfaen"/>
          <w:b/>
          <w:sz w:val="28"/>
          <w:lang w:val="ka-GE"/>
        </w:rPr>
        <w:t>სახელ</w:t>
      </w:r>
      <w:r w:rsidR="005A44F5" w:rsidRPr="0057502A">
        <w:rPr>
          <w:rFonts w:ascii="Sylfaen" w:hAnsi="Sylfaen"/>
          <w:b/>
          <w:sz w:val="28"/>
          <w:lang w:val="ka-GE"/>
        </w:rPr>
        <w:t>მ</w:t>
      </w:r>
      <w:r w:rsidRPr="0057502A">
        <w:rPr>
          <w:rFonts w:ascii="Sylfaen" w:hAnsi="Sylfaen"/>
          <w:b/>
          <w:sz w:val="28"/>
          <w:lang w:val="ka-GE"/>
        </w:rPr>
        <w:t>წ</w:t>
      </w:r>
      <w:r w:rsidR="005A44F5" w:rsidRPr="0057502A">
        <w:rPr>
          <w:rFonts w:ascii="Sylfaen" w:hAnsi="Sylfaen"/>
          <w:b/>
          <w:sz w:val="28"/>
          <w:lang w:val="ka-GE"/>
        </w:rPr>
        <w:t>იფო ვალი</w:t>
      </w:r>
    </w:p>
    <w:p w:rsidR="009B63F3" w:rsidRDefault="00CC46C4" w:rsidP="00081B9C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proofErr w:type="spellStart"/>
      <w:proofErr w:type="gram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proofErr w:type="gramEnd"/>
      <w:r w:rsidR="009B63F3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434625">
        <w:rPr>
          <w:rFonts w:ascii="Sylfaen" w:hAnsi="Sylfaen" w:cs="Sylfaen"/>
          <w:szCs w:val="21"/>
          <w:shd w:val="clear" w:color="auto" w:fill="FFFFFF"/>
        </w:rPr>
        <w:t>8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6B1B1E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6B1B1E">
        <w:rPr>
          <w:rFonts w:ascii="Sylfaen" w:hAnsi="Sylfaen" w:cs="Sylfaen"/>
          <w:szCs w:val="21"/>
          <w:shd w:val="clear" w:color="auto" w:fill="FFFFFF"/>
          <w:lang w:val="ka-GE"/>
        </w:rPr>
        <w:t>17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6B1B1E">
        <w:rPr>
          <w:rFonts w:ascii="Sylfaen" w:hAnsi="Sylfaen" w:cs="Sylfaen"/>
          <w:szCs w:val="21"/>
          <w:shd w:val="clear" w:color="auto" w:fill="FFFFFF"/>
          <w:lang w:val="ka-GE"/>
        </w:rPr>
        <w:t>194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6B1B1E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მილიონ ლარს.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13</w:t>
      </w:r>
      <w:r w:rsidR="0056160F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441</w:t>
      </w:r>
      <w:r w:rsidR="0056160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34625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მილიონ ლარს,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 ხოლო საშინაო ვალის ნაშთი 3,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752</w:t>
      </w:r>
      <w:r w:rsidR="0043462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4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 მილიონ ლარს.</w:t>
      </w:r>
    </w:p>
    <w:p w:rsidR="006F4202" w:rsidRPr="004C0704" w:rsidRDefault="009B63F3" w:rsidP="00D62E87">
      <w:pPr>
        <w:spacing w:line="240" w:lineRule="auto"/>
        <w:ind w:firstLine="720"/>
        <w:jc w:val="both"/>
        <w:rPr>
          <w:rFonts w:ascii="Calibri" w:eastAsia="Times New Roman" w:hAnsi="Calibri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13</w:t>
      </w:r>
      <w:r w:rsidR="00EB0EE9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441</w:t>
      </w:r>
      <w:r w:rsidR="00EB0EE9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9</w:t>
      </w:r>
      <w:r w:rsidR="00EB0EE9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მილიონი ლარი,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9363B9" w:rsidRPr="00F01A27">
        <w:rPr>
          <w:rFonts w:ascii="Sylfaen" w:hAnsi="Sylfaen"/>
          <w:szCs w:val="21"/>
          <w:shd w:val="clear" w:color="auto" w:fill="FFFFFF"/>
        </w:rPr>
        <w:t>7</w:t>
      </w:r>
      <w:r w:rsidR="006B1B1E">
        <w:rPr>
          <w:rFonts w:ascii="Sylfaen" w:hAnsi="Sylfaen"/>
          <w:szCs w:val="21"/>
          <w:shd w:val="clear" w:color="auto" w:fill="FFFFFF"/>
          <w:lang w:val="ka-GE"/>
        </w:rPr>
        <w:t>9</w:t>
      </w:r>
      <w:r w:rsidR="006F4202" w:rsidRPr="00F01A27">
        <w:rPr>
          <w:rFonts w:ascii="Sylfaen" w:hAnsi="Sylfaen"/>
          <w:szCs w:val="21"/>
          <w:shd w:val="clear" w:color="auto" w:fill="FFFFFF"/>
        </w:rPr>
        <w:t>%-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4C070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. </w:t>
      </w:r>
      <w:proofErr w:type="spellStart"/>
      <w:r w:rsidR="006F4202" w:rsidRPr="004C0704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4C0704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4C0704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4C0704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4C0704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4C0704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9515B0">
        <w:rPr>
          <w:rFonts w:ascii="Sylfaen" w:hAnsi="Sylfaen"/>
          <w:szCs w:val="21"/>
          <w:shd w:val="clear" w:color="auto" w:fill="FFFFFF"/>
          <w:lang w:val="ka-GE"/>
        </w:rPr>
        <w:t>2</w:t>
      </w:r>
      <w:r w:rsidR="006B1B1E">
        <w:rPr>
          <w:rFonts w:ascii="Sylfaen" w:hAnsi="Sylfaen"/>
          <w:szCs w:val="21"/>
          <w:shd w:val="clear" w:color="auto" w:fill="FFFFFF"/>
        </w:rPr>
        <w:t>2</w:t>
      </w:r>
      <w:r w:rsidR="002A3C73" w:rsidRPr="009515B0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B1B1E">
        <w:rPr>
          <w:rFonts w:ascii="Sylfaen" w:hAnsi="Sylfaen"/>
          <w:szCs w:val="21"/>
          <w:shd w:val="clear" w:color="auto" w:fill="FFFFFF"/>
        </w:rPr>
        <w:t>0</w:t>
      </w:r>
      <w:r w:rsidR="00C126E1" w:rsidRPr="009515B0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9515B0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9515B0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 საშუალო შეწონილი ვადიანობა </w:t>
      </w:r>
      <w:r w:rsidR="00071A4F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270C72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270C72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270C72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270C72">
        <w:rPr>
          <w:rFonts w:ascii="Sylfaen" w:hAnsi="Sylfaen"/>
          <w:szCs w:val="21"/>
          <w:shd w:val="clear" w:color="auto" w:fill="FFFFFF"/>
        </w:rPr>
        <w:t>.</w:t>
      </w:r>
      <w:r w:rsidR="00270C72" w:rsidRPr="00270C72">
        <w:rPr>
          <w:rFonts w:ascii="Sylfaen" w:hAnsi="Sylfaen"/>
          <w:szCs w:val="21"/>
          <w:shd w:val="clear" w:color="auto" w:fill="FFFFFF"/>
        </w:rPr>
        <w:t>8</w:t>
      </w:r>
      <w:r w:rsidR="00C126E1" w:rsidRPr="004C070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საგარეო ვალის საშუალო შეწონილი საპროცენტო განაკვეთი შეადგენს </w:t>
      </w:r>
      <w:r w:rsidR="00CB36D7" w:rsidRPr="004C0704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D46022">
        <w:rPr>
          <w:rFonts w:ascii="Sylfaen" w:hAnsi="Sylfaen" w:cs="Sylfaen"/>
          <w:szCs w:val="21"/>
          <w:shd w:val="clear" w:color="auto" w:fill="FFFFFF"/>
        </w:rPr>
        <w:t>24</w:t>
      </w:r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6F4202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</w:t>
      </w:r>
      <w:r w:rsidR="0078542F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>მ</w:t>
      </w:r>
      <w:r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წიფო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 w:rsidR="00EB0EE9">
        <w:rPr>
          <w:rFonts w:ascii="Sylfaen" w:hAnsi="Sylfaen"/>
          <w:b/>
          <w:szCs w:val="18"/>
          <w:shd w:val="clear" w:color="auto" w:fill="FFFFFF"/>
          <w:lang w:val="ka-GE"/>
        </w:rPr>
        <w:t>8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30 </w:t>
      </w:r>
      <w:r w:rsidR="00D46022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54E6" w:rsidRPr="004C0704" w:rsidRDefault="004154E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4154E6" w:rsidRPr="004C0704" w:rsidRDefault="004154E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24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4154E6" w:rsidRPr="004C0704" w:rsidRDefault="004154E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4154E6" w:rsidRPr="00DE4001" w:rsidRDefault="004154E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4C0704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დარჩენილი </w:t>
                              </w:r>
                              <w:r w:rsidRPr="00270C72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ვადიანობა</w:t>
                              </w:r>
                              <w:r w:rsidRPr="00270C72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C72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4154E6" w:rsidRPr="004C0704" w:rsidRDefault="004154E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4154E6" w:rsidRPr="004C0704" w:rsidRDefault="004154E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24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4154E6" w:rsidRPr="004C0704" w:rsidRDefault="004154E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4154E6" w:rsidRPr="00DE4001" w:rsidRDefault="004154E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4C0704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დარჩენილი </w:t>
                        </w:r>
                        <w:r w:rsidRPr="00270C72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ვადიანობა</w:t>
                        </w:r>
                        <w:r w:rsidRPr="00270C72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270C72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4C0704">
        <w:rPr>
          <w:noProof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202" w:rsidRPr="001C523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>
        <w:rPr>
          <w:rFonts w:ascii="Sylfaen" w:hAnsi="Sylfaen" w:cs="Sylfaen"/>
          <w:szCs w:val="21"/>
          <w:shd w:val="clear" w:color="auto" w:fill="FFFFFF"/>
        </w:rPr>
        <w:t>8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D46022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proofErr w:type="spellStart"/>
      <w:r w:rsidR="006F4202" w:rsidRPr="0057502A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57502A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57502A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9C1DED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9C1DE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17E10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D46022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F01A2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F01A2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. სახელმ</w:t>
      </w:r>
      <w:r w:rsidR="00E569AC" w:rsidRPr="00F01A27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იფო საგარეო ვალის </w:t>
      </w:r>
      <w:r w:rsidR="00D46022">
        <w:rPr>
          <w:rFonts w:ascii="Sylfaen" w:hAnsi="Sylfaen" w:cs="Sylfaen"/>
          <w:szCs w:val="21"/>
          <w:shd w:val="clear" w:color="auto" w:fill="FFFFFF"/>
          <w:lang w:val="ka-GE"/>
        </w:rPr>
        <w:t>39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Default="00270C72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281305</wp:posOffset>
            </wp:positionV>
            <wp:extent cx="2847975" cy="19050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270C72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page">
              <wp:posOffset>1076325</wp:posOffset>
            </wp:positionH>
            <wp:positionV relativeFrom="paragraph">
              <wp:posOffset>11430</wp:posOffset>
            </wp:positionV>
            <wp:extent cx="2466975" cy="1981200"/>
            <wp:effectExtent l="0" t="0" r="28575" b="0"/>
            <wp:wrapThrough wrapText="bothSides">
              <wp:wrapPolygon edited="0">
                <wp:start x="0" y="0"/>
                <wp:lineTo x="0" y="21392"/>
                <wp:lineTo x="21677" y="21392"/>
                <wp:lineTo x="21677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071D1D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04141">
        <w:rPr>
          <w:rFonts w:ascii="Sylfaen" w:hAnsi="Sylfaen"/>
          <w:b/>
          <w:lang w:val="ka-GE"/>
        </w:rPr>
        <w:lastRenderedPageBreak/>
        <w:t xml:space="preserve">სახელმწიფო საგარეო ვალის სტრუქტურა - </w:t>
      </w:r>
      <w:r w:rsidR="00E46C45" w:rsidRPr="00F53863">
        <w:rPr>
          <w:rFonts w:ascii="Sylfaen" w:hAnsi="Sylfaen"/>
          <w:b/>
          <w:lang w:val="ka-GE"/>
        </w:rPr>
        <w:t xml:space="preserve">2018 წლის 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30 </w:t>
      </w:r>
      <w:r w:rsidR="00041D5B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Pr="00B04141">
        <w:rPr>
          <w:rFonts w:ascii="Sylfaen" w:hAnsi="Sylfaen"/>
          <w:b/>
          <w:lang w:val="ka-GE"/>
        </w:rPr>
        <w:t>მდგომარეობით</w:t>
      </w:r>
    </w:p>
    <w:p w:rsidR="00D02027" w:rsidRDefault="00D02027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744"/>
        <w:gridCol w:w="1266"/>
        <w:gridCol w:w="1200"/>
        <w:gridCol w:w="1331"/>
        <w:gridCol w:w="961"/>
        <w:gridCol w:w="896"/>
      </w:tblGrid>
      <w:tr w:rsidR="00041D5B" w:rsidTr="00081B9C">
        <w:trPr>
          <w:trHeight w:hRule="exact" w:val="708"/>
          <w:tblHeader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98" w:type="pct"/>
            <w:shd w:val="clear" w:color="000000" w:fill="FFFFFF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30.09.2018 </w:t>
            </w:r>
          </w:p>
        </w:tc>
        <w:tc>
          <w:tcPr>
            <w:tcW w:w="465" w:type="pct"/>
            <w:shd w:val="clear" w:color="000000" w:fill="FFFFFF"/>
            <w:vAlign w:val="bottom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41D5B" w:rsidTr="00081B9C">
        <w:trPr>
          <w:trHeight w:hRule="exact" w:val="227"/>
        </w:trPr>
        <w:tc>
          <w:tcPr>
            <w:tcW w:w="2065" w:type="pct"/>
            <w:gridSpan w:val="2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5 140 098 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13 441 870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041D5B" w:rsidTr="00081B9C">
        <w:trPr>
          <w:trHeight w:hRule="exact" w:val="227"/>
        </w:trPr>
        <w:tc>
          <w:tcPr>
            <w:tcW w:w="2065" w:type="pct"/>
            <w:gridSpan w:val="2"/>
            <w:shd w:val="clear" w:color="000000" w:fill="BFBFB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3 789 141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9 908 983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(WB - IDA)</w:t>
            </w:r>
          </w:p>
        </w:tc>
        <w:tc>
          <w:tcPr>
            <w:tcW w:w="386" w:type="pct"/>
            <w:vMerge w:val="restar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815 762 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2 133 298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258 900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677 050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9 552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24 979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auto" w:fill="auto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(WB - IBRD)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106 435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278 337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180 626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472 355 </w:t>
            </w:r>
          </w:p>
        </w:tc>
        <w:tc>
          <w:tcPr>
            <w:tcW w:w="691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2.80%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0.098%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32 336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84 561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2.96%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47 828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125 076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0.028%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115 638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302 404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62 644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163 820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3.19%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147 190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384 915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0.092%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26 151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31 065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81 238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3.34%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23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59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313 812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0.081%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10 897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28 496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18 724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48 964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3.55%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სოფლის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მეურნეობის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19 304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50 483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5 836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15 261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4 640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12 134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სავალუტო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(IMF EFF,NBG)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125 573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328 385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სავალუტო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(SBA 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62 786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164 192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ევროგაერთიანება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11 589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30 306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15 066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39 398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რეკონსტრუქციის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და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125 654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328 597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auto" w:fill="auto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65 408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171 048 </w:t>
            </w:r>
          </w:p>
        </w:tc>
        <w:tc>
          <w:tcPr>
            <w:tcW w:w="691" w:type="pct"/>
            <w:vMerge w:val="restar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379 256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991 792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45 235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118 295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217 443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568 634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0.085%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30 926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80 875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58 333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152 547 </w:t>
            </w:r>
          </w:p>
        </w:tc>
        <w:tc>
          <w:tcPr>
            <w:tcW w:w="691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2.86%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68 386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178 837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11 770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30 780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15 333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40 098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130 755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3.02%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39 134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102 339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38 424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100 483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4 250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11 114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3.12%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38 453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100 557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3 019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7 895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auto" w:fill="auto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ინფრასტრუქტურის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11 940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31 225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საინვესტიციო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(EIB)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9 679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25 310 </w:t>
            </w:r>
          </w:p>
        </w:tc>
        <w:tc>
          <w:tcPr>
            <w:tcW w:w="691" w:type="pct"/>
            <w:vMerge w:val="restar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23 178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60 612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11 589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30 306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26 916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70 388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23 178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60 612 </w:t>
            </w:r>
          </w:p>
        </w:tc>
        <w:tc>
          <w:tcPr>
            <w:tcW w:w="691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1.94%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86 916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227 295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EURIBOR+0.183%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17 383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45 459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EURIBOR+0.505%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23 178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60 612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+ 0.75%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77 896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203 705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EURIBOR+0.75%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15 323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40 071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EURIBOR+0.81%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55 055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143 974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+ 0.82%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0.54%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3 477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9 092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+ 0.858%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BFBFB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ორმხრივი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386" w:type="pct"/>
            <w:shd w:val="clear" w:color="000000" w:fill="BFBFB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849 013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2 220 255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14 695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38 428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7 976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20 857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211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552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15 297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40 002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6 155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16 095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lastRenderedPageBreak/>
              <w:t>რუსეთი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63 567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166 234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9 023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23 596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160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418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146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382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18 685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48 863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1 743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4 559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1 559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4 077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133 512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349 148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11 920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31 172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646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1 690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36 504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95 462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29 585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77 369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11 878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31 062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37 664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98 494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13 697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35 819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0.018%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25 372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66 351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135 976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355 592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1 632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4 269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23 060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60 305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21 766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56 919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63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166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10 807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28 263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159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416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772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2 018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268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 w:rsidP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701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8 530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22 307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5 351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13 992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7 657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20 024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13 704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35 838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23 952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62 636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19 129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50 023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49 776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130 169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69 533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181 836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9 794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25 612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+ 1.8%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1.80%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7 089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18 537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BFBFB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ფასიანი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386" w:type="pct"/>
            <w:shd w:val="clear" w:color="000000" w:fill="BFBFB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500 000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1 307 550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ევროობლიგაცია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500 000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1 307 550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6.875%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0.669%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BFBFB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386" w:type="pct"/>
            <w:shd w:val="clear" w:color="000000" w:fill="BFBFB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1 943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5 082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Fixed </w:t>
            </w:r>
          </w:p>
        </w:tc>
        <w:tc>
          <w:tcPr>
            <w:tcW w:w="498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041D5B" w:rsidTr="00081B9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1 943 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5 082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041D5B" w:rsidTr="00081B9C">
        <w:trPr>
          <w:trHeight w:hRule="exact" w:val="227"/>
        </w:trPr>
        <w:tc>
          <w:tcPr>
            <w:tcW w:w="2065" w:type="pct"/>
            <w:gridSpan w:val="2"/>
            <w:shd w:val="clear" w:color="000000" w:fill="FFFFFF"/>
            <w:noWrap/>
            <w:vAlign w:val="center"/>
            <w:hideMark/>
          </w:tcPr>
          <w:p w:rsidR="00041D5B" w:rsidRDefault="00041D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70" w:type="pct"/>
            <w:gridSpan w:val="4"/>
            <w:shd w:val="clear" w:color="000000" w:fill="808080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საშუალო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465" w:type="pct"/>
            <w:shd w:val="clear" w:color="000000" w:fill="808080"/>
            <w:noWrap/>
            <w:vAlign w:val="center"/>
            <w:hideMark/>
          </w:tcPr>
          <w:p w:rsidR="00041D5B" w:rsidRDefault="00041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2.24%</w:t>
            </w:r>
          </w:p>
        </w:tc>
      </w:tr>
    </w:tbl>
    <w:p w:rsidR="00071D1D" w:rsidRDefault="00071D1D" w:rsidP="00041D5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9E33C4" w:rsidRDefault="009E33C4" w:rsidP="00041D5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9E33C4" w:rsidRDefault="009E33C4" w:rsidP="00041D5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9E33C4" w:rsidRDefault="009E33C4" w:rsidP="00041D5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B830F8" w:rsidRDefault="00B830F8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2D6086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0F5720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F5720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Pr="00C2136E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840241" w:rsidRPr="00C2136E">
        <w:rPr>
          <w:rFonts w:ascii="Sylfaen" w:hAnsi="Sylfaen" w:cs="Sylfaen"/>
          <w:szCs w:val="21"/>
          <w:shd w:val="clear" w:color="auto" w:fill="FFFFFF"/>
        </w:rPr>
        <w:t>69</w:t>
      </w:r>
      <w:r w:rsidR="00C2136E" w:rsidRPr="00C2136E">
        <w:rPr>
          <w:rFonts w:ascii="Sylfaen" w:hAnsi="Sylfaen" w:cs="Sylfaen"/>
          <w:szCs w:val="21"/>
          <w:shd w:val="clear" w:color="auto" w:fill="FFFFFF"/>
        </w:rPr>
        <w:t>3</w:t>
      </w:r>
      <w:r w:rsidR="000F5720" w:rsidRPr="00C2136E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840241" w:rsidRPr="00C2136E">
        <w:rPr>
          <w:rFonts w:ascii="Sylfaen" w:hAnsi="Sylfaen" w:cs="Sylfaen"/>
          <w:szCs w:val="21"/>
          <w:shd w:val="clear" w:color="auto" w:fill="FFFFFF"/>
        </w:rPr>
        <w:t>620</w:t>
      </w:r>
      <w:r w:rsidR="000F5720" w:rsidRPr="00C2136E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40241" w:rsidRPr="00C2136E">
        <w:rPr>
          <w:rFonts w:ascii="Sylfaen" w:hAnsi="Sylfaen" w:cs="Sylfaen"/>
          <w:szCs w:val="21"/>
          <w:shd w:val="clear" w:color="auto" w:fill="FFFFFF"/>
        </w:rPr>
        <w:t>0</w:t>
      </w:r>
      <w:r w:rsidR="000F5720" w:rsidRPr="00C2136E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23560" w:rsidRPr="00C2136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მათ შორის -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40241">
        <w:rPr>
          <w:rFonts w:ascii="Sylfaen" w:hAnsi="Sylfaen" w:cs="Sylfaen"/>
          <w:szCs w:val="21"/>
          <w:shd w:val="clear" w:color="auto" w:fill="FFFFFF"/>
        </w:rPr>
        <w:t>517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840241">
        <w:rPr>
          <w:rFonts w:ascii="Sylfaen" w:hAnsi="Sylfaen" w:cs="Sylfaen"/>
          <w:szCs w:val="21"/>
          <w:shd w:val="clear" w:color="auto" w:fill="FFFFFF"/>
        </w:rPr>
        <w:t>212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0F5720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40241">
        <w:rPr>
          <w:rFonts w:ascii="Sylfaen" w:hAnsi="Sylfaen" w:cs="Sylfaen"/>
          <w:szCs w:val="21"/>
          <w:shd w:val="clear" w:color="auto" w:fill="FFFFFF"/>
        </w:rPr>
        <w:t>176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840241">
        <w:rPr>
          <w:rFonts w:ascii="Sylfaen" w:hAnsi="Sylfaen" w:cs="Sylfaen"/>
          <w:szCs w:val="21"/>
          <w:shd w:val="clear" w:color="auto" w:fill="FFFFFF"/>
        </w:rPr>
        <w:t>407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40241">
        <w:rPr>
          <w:rFonts w:ascii="Sylfaen" w:hAnsi="Sylfaen" w:cs="Sylfaen"/>
          <w:szCs w:val="21"/>
          <w:shd w:val="clear" w:color="auto" w:fill="FFFFFF"/>
        </w:rPr>
        <w:t>4</w:t>
      </w:r>
      <w:r w:rsidR="0007188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F5720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9E33C4" w:rsidRDefault="009E33C4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E33C4" w:rsidRDefault="009E33C4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E33C4" w:rsidRDefault="009E33C4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E33C4" w:rsidRDefault="009E33C4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E33C4" w:rsidRDefault="009E33C4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65901" w:rsidRDefault="00FE7942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სახელმწიფო საგარეო ვალდებულებების მომსახურება და დაფარვა</w:t>
      </w:r>
    </w:p>
    <w:p w:rsidR="004816BC" w:rsidRDefault="000F5720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504D30">
        <w:rPr>
          <w:rFonts w:ascii="Sylfaen" w:hAnsi="Sylfaen"/>
          <w:b/>
          <w:lang w:val="ka-GE"/>
        </w:rPr>
        <w:t>2018 წლის 3</w:t>
      </w:r>
      <w:r w:rsidR="00FD691A">
        <w:rPr>
          <w:rFonts w:ascii="Sylfaen" w:hAnsi="Sylfaen"/>
          <w:b/>
        </w:rPr>
        <w:t>0</w:t>
      </w:r>
      <w:r w:rsidRPr="00504D30">
        <w:rPr>
          <w:rFonts w:ascii="Sylfaen" w:hAnsi="Sylfaen"/>
          <w:b/>
          <w:lang w:val="ka-GE"/>
        </w:rPr>
        <w:t xml:space="preserve"> </w:t>
      </w:r>
      <w:r w:rsidR="00840241">
        <w:rPr>
          <w:rFonts w:ascii="Sylfaen" w:hAnsi="Sylfaen"/>
          <w:b/>
          <w:lang w:val="ka-GE"/>
        </w:rPr>
        <w:t>სექტემბრის</w:t>
      </w:r>
      <w:r w:rsidR="00FD691A">
        <w:rPr>
          <w:rFonts w:ascii="Sylfaen" w:hAnsi="Sylfaen"/>
          <w:b/>
          <w:lang w:val="ka-GE"/>
        </w:rPr>
        <w:t xml:space="preserve"> მდგომარეობით</w:t>
      </w:r>
    </w:p>
    <w:p w:rsidR="009E33C4" w:rsidRPr="009E33C4" w:rsidRDefault="009E33C4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FD691A" w:rsidRDefault="009E33C4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9E33C4">
        <w:rPr>
          <w:noProof/>
        </w:rPr>
        <w:drawing>
          <wp:inline distT="0" distB="0" distL="0" distR="0">
            <wp:extent cx="4890770" cy="51435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19" cy="515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2F" w:rsidRDefault="00564C7D" w:rsidP="00D62E87">
      <w:pPr>
        <w:tabs>
          <w:tab w:val="left" w:pos="720"/>
        </w:tabs>
        <w:spacing w:after="120" w:line="240" w:lineRule="auto"/>
        <w:jc w:val="right"/>
        <w:rPr>
          <w:rFonts w:ascii="Sylfaen" w:hAnsi="Sylfaen" w:cs="Sylfaen"/>
          <w:sz w:val="18"/>
          <w:szCs w:val="18"/>
          <w:shd w:val="clear" w:color="auto" w:fill="FFFFFF"/>
          <w:lang w:val="ka-GE"/>
        </w:rPr>
      </w:pP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 xml:space="preserve">          </w:t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  <w:r>
        <w:rPr>
          <w:rFonts w:ascii="Sylfaen" w:hAnsi="Sylfaen" w:cs="Sylfaen"/>
          <w:sz w:val="18"/>
          <w:szCs w:val="18"/>
          <w:shd w:val="clear" w:color="auto" w:fill="FFFFFF"/>
          <w:lang w:val="ka-GE"/>
        </w:rPr>
        <w:tab/>
      </w:r>
    </w:p>
    <w:p w:rsidR="0096735A" w:rsidRDefault="00567ACE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</w:p>
    <w:p w:rsidR="009E33C4" w:rsidRDefault="009E33C4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44178B" w:rsidRPr="00164B20">
        <w:rPr>
          <w:rFonts w:ascii="Sylfaen" w:hAnsi="Sylfaen" w:cs="Sylfaen"/>
          <w:szCs w:val="21"/>
          <w:shd w:val="clear" w:color="auto" w:fill="FFFFFF"/>
        </w:rPr>
        <w:t>8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C9708E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6 თვიანზე 7.</w:t>
      </w:r>
      <w:r w:rsidR="00C9708E">
        <w:rPr>
          <w:rFonts w:ascii="Sylfaen" w:hAnsi="Sylfaen" w:cs="Sylfaen"/>
          <w:szCs w:val="21"/>
          <w:shd w:val="clear" w:color="auto" w:fill="FFFFFF"/>
        </w:rPr>
        <w:t>1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თვიანზე 7.</w:t>
      </w:r>
      <w:r w:rsidR="00C9708E">
        <w:rPr>
          <w:rFonts w:ascii="Sylfaen" w:hAnsi="Sylfaen" w:cs="Sylfaen"/>
          <w:szCs w:val="21"/>
          <w:shd w:val="clear" w:color="auto" w:fill="FFFFFF"/>
        </w:rPr>
        <w:t>1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3B15C3" w:rsidRPr="00164B20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9708E">
        <w:rPr>
          <w:rFonts w:ascii="Sylfaen" w:hAnsi="Sylfaen" w:cs="Sylfaen"/>
          <w:szCs w:val="21"/>
          <w:shd w:val="clear" w:color="auto" w:fill="FFFFFF"/>
        </w:rPr>
        <w:t>2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4464CC" w:rsidRPr="00164B20">
        <w:rPr>
          <w:rFonts w:ascii="Sylfaen" w:hAnsi="Sylfaen" w:cs="Sylfaen"/>
          <w:szCs w:val="21"/>
          <w:shd w:val="clear" w:color="auto" w:fill="FFFFFF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9708E">
        <w:rPr>
          <w:rFonts w:ascii="Sylfaen" w:hAnsi="Sylfaen" w:cs="Sylfaen"/>
          <w:szCs w:val="21"/>
          <w:shd w:val="clear" w:color="auto" w:fill="FFFFFF"/>
        </w:rPr>
        <w:t>4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4464CC" w:rsidRPr="00164B20">
        <w:rPr>
          <w:rFonts w:ascii="Sylfaen" w:hAnsi="Sylfaen" w:cs="Sylfaen"/>
          <w:szCs w:val="21"/>
          <w:shd w:val="clear" w:color="auto" w:fill="FFFFFF"/>
        </w:rPr>
        <w:t>9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9708E">
        <w:rPr>
          <w:rFonts w:ascii="Sylfaen" w:hAnsi="Sylfaen" w:cs="Sylfaen"/>
          <w:szCs w:val="21"/>
          <w:shd w:val="clear" w:color="auto" w:fill="FFFFFF"/>
        </w:rPr>
        <w:t>0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567ACE" w:rsidRDefault="00567ACE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სახელმწიფო 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 საშინაო ვალის ნაშთმა 201</w:t>
      </w:r>
      <w:r w:rsidR="0044178B" w:rsidRPr="00FB7087">
        <w:rPr>
          <w:rFonts w:ascii="Sylfaen" w:hAnsi="Sylfaen" w:cs="Sylfaen"/>
          <w:shd w:val="clear" w:color="auto" w:fill="FFFFFF"/>
          <w:lang w:val="ka-GE"/>
        </w:rPr>
        <w:t>8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39166F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შეადგენ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44178B">
        <w:rPr>
          <w:rFonts w:ascii="Sylfaen" w:hAnsi="Sylfaen" w:cs="Sylfaen"/>
          <w:shd w:val="clear" w:color="auto" w:fill="FFFFFF"/>
          <w:lang w:val="ka-GE"/>
        </w:rPr>
        <w:t>,</w:t>
      </w:r>
      <w:r w:rsidR="0039166F">
        <w:rPr>
          <w:rFonts w:ascii="Sylfaen" w:hAnsi="Sylfaen" w:cs="Sylfaen"/>
          <w:shd w:val="clear" w:color="auto" w:fill="FFFFFF"/>
          <w:lang w:val="ka-GE"/>
        </w:rPr>
        <w:t>080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39166F">
        <w:rPr>
          <w:rFonts w:ascii="Sylfaen" w:hAnsi="Sylfaen" w:cs="Sylfaen"/>
          <w:shd w:val="clear" w:color="auto" w:fill="FFFFFF"/>
          <w:lang w:val="ka-GE"/>
        </w:rPr>
        <w:t>1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მილიონ</w:t>
      </w:r>
      <w:r w:rsidR="003B15C3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(სახელმწიფო ფასიანი ქაღალდების დაუფარავი მოცულობა ნომინალებში -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44178B">
        <w:rPr>
          <w:rFonts w:ascii="Sylfaen" w:hAnsi="Sylfaen" w:cs="Sylfaen"/>
          <w:shd w:val="clear" w:color="auto" w:fill="FFFFFF"/>
          <w:lang w:val="ka-GE"/>
        </w:rPr>
        <w:t>,</w:t>
      </w:r>
      <w:r w:rsidR="0039166F">
        <w:rPr>
          <w:rFonts w:ascii="Sylfaen" w:hAnsi="Sylfaen" w:cs="Sylfaen"/>
          <w:shd w:val="clear" w:color="auto" w:fill="FFFFFF"/>
          <w:lang w:val="ka-GE"/>
        </w:rPr>
        <w:t>096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.9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მლნ ლარი), აქედან </w:t>
      </w:r>
      <w:r w:rsidR="004464CC" w:rsidRPr="004464CC">
        <w:rPr>
          <w:rFonts w:ascii="Sylfaen" w:hAnsi="Sylfaen" w:cs="Sylfaen"/>
          <w:shd w:val="clear" w:color="auto" w:fill="FFFFFF"/>
          <w:lang w:val="ka-GE"/>
        </w:rPr>
        <w:t>2</w:t>
      </w:r>
      <w:r w:rsidR="004464CC">
        <w:rPr>
          <w:rFonts w:ascii="Sylfaen" w:hAnsi="Sylfaen" w:cs="Sylfaen"/>
          <w:shd w:val="clear" w:color="auto" w:fill="FFFFFF"/>
          <w:lang w:val="ka-GE"/>
        </w:rPr>
        <w:t>,</w:t>
      </w:r>
      <w:r w:rsidR="0039166F">
        <w:rPr>
          <w:rFonts w:ascii="Sylfaen" w:hAnsi="Sylfaen" w:cs="Sylfaen"/>
          <w:shd w:val="clear" w:color="auto" w:fill="FFFFFF"/>
          <w:lang w:val="ka-GE"/>
        </w:rPr>
        <w:t>639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39166F">
        <w:rPr>
          <w:rFonts w:ascii="Sylfaen" w:hAnsi="Sylfaen" w:cs="Sylfaen"/>
          <w:shd w:val="clear" w:color="auto" w:fill="FFFFFF"/>
          <w:lang w:val="ka-GE"/>
        </w:rPr>
        <w:t>2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მილიონი ლარი წარმოადგენს ნაშთს სახაზინო ვალდებულებების და ობლიგაციების ნაწილში, ხოლო 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4</w:t>
      </w:r>
      <w:r w:rsidR="0039166F">
        <w:rPr>
          <w:rFonts w:ascii="Sylfaen" w:hAnsi="Sylfaen" w:cs="Sylfaen"/>
          <w:shd w:val="clear" w:color="auto" w:fill="FFFFFF"/>
          <w:lang w:val="ka-GE"/>
        </w:rPr>
        <w:t>4</w:t>
      </w:r>
      <w:r w:rsidR="0002796C">
        <w:rPr>
          <w:rFonts w:ascii="Sylfaen" w:hAnsi="Sylfaen" w:cs="Sylfaen"/>
          <w:shd w:val="clear" w:color="auto" w:fill="FFFFFF"/>
        </w:rPr>
        <w:t>0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მილიონი ლარი - „სახელმწიფო ობლიგაციები სებ-სთვის და ღია ბაზრის ოპერაციებისათვის“ ნაწილში.</w:t>
      </w:r>
    </w:p>
    <w:p w:rsidR="00FB7087" w:rsidRDefault="00FB7087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FB7087" w:rsidRDefault="00FB7087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9E33C4" w:rsidRDefault="009E33C4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9E33C4" w:rsidRDefault="009E33C4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F26066" w:rsidRPr="00C367E2" w:rsidRDefault="00F26066" w:rsidP="00FB7087">
      <w:pPr>
        <w:spacing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სახელმწიფო  ფასიანი ქაღალდების დაუფარავი მოცულობა ნომინალებში ვადის და ტიპის მიხედვით </w:t>
      </w:r>
      <w:r w:rsidR="0044178B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44178B">
        <w:rPr>
          <w:rFonts w:ascii="Sylfaen" w:hAnsi="Sylfaen" w:cs="Sylfaen"/>
          <w:b/>
          <w:szCs w:val="18"/>
          <w:shd w:val="clear" w:color="auto" w:fill="FFFFFF"/>
          <w:lang w:val="ka-GE"/>
        </w:rPr>
        <w:t>8</w:t>
      </w:r>
      <w:r w:rsidR="0044178B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64B20">
        <w:rPr>
          <w:rFonts w:ascii="Sylfaen" w:hAnsi="Sylfaen" w:cs="Sylfaen"/>
          <w:b/>
          <w:szCs w:val="18"/>
          <w:shd w:val="clear" w:color="auto" w:fill="FFFFFF"/>
        </w:rPr>
        <w:t xml:space="preserve">30 </w:t>
      </w:r>
      <w:r w:rsidR="0039166F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44178B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14"/>
          <w:szCs w:val="14"/>
          <w:shd w:val="clear" w:color="auto" w:fill="FFFFFF"/>
        </w:rPr>
      </w:pPr>
    </w:p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Sylfaen" w:hAnsi="Sylfaen" w:cs="Sylfaen"/>
          <w:b/>
          <w:i/>
          <w:sz w:val="20"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i/>
          <w:sz w:val="20"/>
          <w:szCs w:val="18"/>
          <w:shd w:val="clear" w:color="auto" w:fill="FFFFFF"/>
          <w:lang w:val="ka-GE"/>
        </w:rPr>
        <w:t>ათასი ლარი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18"/>
        <w:gridCol w:w="2814"/>
      </w:tblGrid>
      <w:tr w:rsidR="0044178B" w:rsidRPr="00C367E2" w:rsidTr="00054AB0">
        <w:trPr>
          <w:trHeight w:val="638"/>
        </w:trPr>
        <w:tc>
          <w:tcPr>
            <w:tcW w:w="3539" w:type="pct"/>
            <w:vAlign w:val="center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ka-GE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44178B" w:rsidRPr="0044178B" w:rsidRDefault="0044178B" w:rsidP="00D62E87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44178B" w:rsidRPr="0039166F" w:rsidRDefault="0039166F" w:rsidP="00D62E87">
            <w:pPr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39166F">
              <w:rPr>
                <w:b/>
              </w:rPr>
              <w:t>3</w:t>
            </w:r>
            <w:r>
              <w:rPr>
                <w:rFonts w:ascii="Sylfaen" w:hAnsi="Sylfaen"/>
                <w:b/>
                <w:lang w:val="ka-GE"/>
              </w:rPr>
              <w:t>,</w:t>
            </w:r>
            <w:r w:rsidRPr="0039166F">
              <w:rPr>
                <w:b/>
              </w:rPr>
              <w:t>096</w:t>
            </w:r>
            <w:r>
              <w:rPr>
                <w:rFonts w:ascii="Sylfaen" w:hAnsi="Sylfaen"/>
                <w:b/>
                <w:lang w:val="ka-GE"/>
              </w:rPr>
              <w:t>,</w:t>
            </w:r>
            <w:r w:rsidRPr="0039166F">
              <w:rPr>
                <w:b/>
              </w:rPr>
              <w:t>868</w:t>
            </w:r>
            <w:r>
              <w:rPr>
                <w:rFonts w:ascii="Sylfaen" w:hAnsi="Sylfaen"/>
                <w:b/>
                <w:lang w:val="ka-GE"/>
              </w:rPr>
              <w:t>.0</w:t>
            </w:r>
          </w:p>
        </w:tc>
      </w:tr>
      <w:tr w:rsidR="0044178B" w:rsidRPr="00C367E2" w:rsidTr="00054AB0">
        <w:trPr>
          <w:trHeight w:val="300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hideMark/>
          </w:tcPr>
          <w:p w:rsidR="0044178B" w:rsidRPr="0039166F" w:rsidRDefault="0039166F" w:rsidP="00D62E87">
            <w:pPr>
              <w:jc w:val="center"/>
              <w:rPr>
                <w:rFonts w:ascii="Sylfaen" w:hAnsi="Sylfaen" w:cs="Tahoma"/>
                <w:b/>
                <w:color w:val="000000"/>
                <w:sz w:val="20"/>
                <w:szCs w:val="20"/>
                <w:lang w:val="ka-GE"/>
              </w:rPr>
            </w:pPr>
            <w:r w:rsidRPr="0039166F">
              <w:rPr>
                <w:b/>
              </w:rPr>
              <w:t>2</w:t>
            </w:r>
            <w:r>
              <w:rPr>
                <w:rFonts w:ascii="Sylfaen" w:hAnsi="Sylfaen"/>
                <w:b/>
                <w:lang w:val="ka-GE"/>
              </w:rPr>
              <w:t>,</w:t>
            </w:r>
            <w:r w:rsidRPr="0039166F">
              <w:rPr>
                <w:b/>
              </w:rPr>
              <w:t>656</w:t>
            </w:r>
            <w:r>
              <w:rPr>
                <w:rFonts w:ascii="Sylfaen" w:hAnsi="Sylfaen"/>
                <w:b/>
                <w:lang w:val="ka-GE"/>
              </w:rPr>
              <w:t>,</w:t>
            </w:r>
            <w:r w:rsidRPr="0039166F">
              <w:rPr>
                <w:b/>
              </w:rPr>
              <w:t>022</w:t>
            </w:r>
            <w:r>
              <w:rPr>
                <w:rFonts w:ascii="Sylfaen" w:hAnsi="Sylfaen"/>
                <w:b/>
                <w:lang w:val="ka-GE"/>
              </w:rPr>
              <w:t>.0</w:t>
            </w:r>
          </w:p>
        </w:tc>
      </w:tr>
      <w:tr w:rsidR="0044178B" w:rsidRPr="00C367E2" w:rsidTr="00054AB0">
        <w:trPr>
          <w:trHeight w:val="276"/>
        </w:trPr>
        <w:tc>
          <w:tcPr>
            <w:tcW w:w="3539" w:type="pct"/>
            <w:noWrap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</w:tcPr>
          <w:p w:rsidR="0044178B" w:rsidRPr="0039166F" w:rsidRDefault="0039166F" w:rsidP="00D62E8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120,000.0</w:t>
            </w:r>
          </w:p>
        </w:tc>
      </w:tr>
      <w:tr w:rsidR="0044178B" w:rsidRPr="00C367E2" w:rsidTr="00054AB0">
        <w:trPr>
          <w:trHeight w:val="276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12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  <w:hideMark/>
          </w:tcPr>
          <w:p w:rsidR="0044178B" w:rsidRPr="0039166F" w:rsidRDefault="0039166F" w:rsidP="0039166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430,000.0</w:t>
            </w:r>
          </w:p>
        </w:tc>
      </w:tr>
      <w:tr w:rsidR="0044178B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61" w:type="pct"/>
            <w:hideMark/>
          </w:tcPr>
          <w:p w:rsidR="0044178B" w:rsidRPr="0039166F" w:rsidRDefault="0039166F" w:rsidP="00E513A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813,000.0</w:t>
            </w:r>
          </w:p>
        </w:tc>
      </w:tr>
      <w:tr w:rsidR="0044178B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461" w:type="pct"/>
            <w:hideMark/>
          </w:tcPr>
          <w:p w:rsidR="0044178B" w:rsidRPr="0039166F" w:rsidRDefault="0039166F" w:rsidP="0039166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965,502.0</w:t>
            </w:r>
          </w:p>
        </w:tc>
      </w:tr>
      <w:tr w:rsidR="0044178B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proofErr w:type="spellEnd"/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461" w:type="pct"/>
            <w:hideMark/>
          </w:tcPr>
          <w:p w:rsidR="0044178B" w:rsidRPr="0039166F" w:rsidRDefault="0039166F" w:rsidP="00D62E8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372,520.0</w:t>
            </w:r>
          </w:p>
        </w:tc>
      </w:tr>
      <w:tr w:rsidR="0044178B" w:rsidRPr="00C367E2" w:rsidTr="00746294">
        <w:trPr>
          <w:trHeight w:val="297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სხვა</w:t>
            </w:r>
            <w:proofErr w:type="spellEnd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სახელმწიფო</w:t>
            </w:r>
            <w:proofErr w:type="spellEnd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</w:tcPr>
          <w:p w:rsidR="0044178B" w:rsidRPr="0044178B" w:rsidRDefault="0039166F" w:rsidP="00D62E87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44</w:t>
            </w:r>
            <w:r w:rsidR="00E513A2" w:rsidRPr="00E513A2">
              <w:rPr>
                <w:b/>
              </w:rPr>
              <w:t>0</w:t>
            </w:r>
            <w:r w:rsidR="00E513A2">
              <w:rPr>
                <w:b/>
              </w:rPr>
              <w:t>,</w:t>
            </w:r>
            <w:r w:rsidR="00E513A2" w:rsidRPr="00E513A2">
              <w:rPr>
                <w:b/>
              </w:rPr>
              <w:t>846</w:t>
            </w:r>
            <w:r w:rsidR="00E513A2">
              <w:rPr>
                <w:b/>
              </w:rPr>
              <w:t>.0</w:t>
            </w:r>
          </w:p>
        </w:tc>
      </w:tr>
      <w:tr w:rsidR="0044178B" w:rsidRPr="00C367E2" w:rsidTr="00054AB0">
        <w:trPr>
          <w:trHeight w:val="245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სახელმწიფო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ობლიგაცია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სებ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-</w:t>
            </w:r>
            <w:r w:rsidRPr="00C367E2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ს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თვის</w:t>
            </w:r>
            <w:proofErr w:type="spellEnd"/>
          </w:p>
        </w:tc>
        <w:tc>
          <w:tcPr>
            <w:tcW w:w="1461" w:type="pct"/>
            <w:hideMark/>
          </w:tcPr>
          <w:p w:rsidR="0044178B" w:rsidRDefault="0044178B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16D7">
              <w:t>280,846.0</w:t>
            </w:r>
          </w:p>
        </w:tc>
      </w:tr>
      <w:tr w:rsidR="0044178B" w:rsidRPr="00C367E2" w:rsidTr="00054AB0">
        <w:trPr>
          <w:trHeight w:val="245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სახელმწიფო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ობლიგაციები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ღია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ბაზრის</w:t>
            </w:r>
            <w:proofErr w:type="spellEnd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461" w:type="pct"/>
            <w:hideMark/>
          </w:tcPr>
          <w:p w:rsidR="0044178B" w:rsidRDefault="0039166F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16</w:t>
            </w:r>
            <w:r w:rsidR="00E513A2" w:rsidRPr="00E513A2">
              <w:t>0</w:t>
            </w:r>
            <w:r w:rsidR="00E513A2">
              <w:t>,</w:t>
            </w:r>
            <w:r w:rsidR="00E513A2" w:rsidRPr="00E513A2">
              <w:t>000</w:t>
            </w:r>
            <w:r w:rsidR="00E513A2">
              <w:t>.0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EC701B" w:rsidRPr="00C367E2" w:rsidRDefault="00EC701B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D57A95" w:rsidRDefault="00D57A95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44178B">
        <w:rPr>
          <w:rFonts w:ascii="Sylfaen" w:hAnsi="Sylfaen" w:cs="Sylfaen"/>
          <w:lang w:val="ka-GE"/>
        </w:rPr>
        <w:t>8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581B0F" w:rsidRPr="00581B0F">
        <w:rPr>
          <w:rFonts w:ascii="Sylfaen" w:hAnsi="Sylfaen" w:cs="Sylfaen"/>
          <w:szCs w:val="18"/>
          <w:shd w:val="clear" w:color="auto" w:fill="FFFFFF"/>
        </w:rPr>
        <w:t xml:space="preserve">30 </w:t>
      </w:r>
      <w:r w:rsidR="0039166F">
        <w:rPr>
          <w:rFonts w:ascii="Sylfaen" w:hAnsi="Sylfaen" w:cs="Sylfaen"/>
          <w:szCs w:val="18"/>
          <w:shd w:val="clear" w:color="auto" w:fill="FFFFFF"/>
          <w:lang w:val="ka-GE"/>
        </w:rPr>
        <w:t>სექტემბრის</w:t>
      </w:r>
      <w:r w:rsidR="00581B0F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0E5F6B" w:rsidRPr="000E5F6B">
        <w:rPr>
          <w:rFonts w:ascii="Sylfaen" w:hAnsi="Sylfaen" w:cs="Sylfaen"/>
        </w:rPr>
        <w:t>1</w:t>
      </w:r>
      <w:r w:rsidR="000E5F6B">
        <w:rPr>
          <w:rFonts w:ascii="Sylfaen" w:hAnsi="Sylfaen" w:cs="Sylfaen"/>
          <w:lang w:val="ka-GE"/>
        </w:rPr>
        <w:t>,</w:t>
      </w:r>
      <w:r w:rsidR="000E5F6B" w:rsidRPr="000E5F6B">
        <w:rPr>
          <w:rFonts w:ascii="Sylfaen" w:hAnsi="Sylfaen" w:cs="Sylfaen"/>
        </w:rPr>
        <w:t>227</w:t>
      </w:r>
      <w:r w:rsidR="000E5F6B">
        <w:rPr>
          <w:rFonts w:ascii="Sylfaen" w:hAnsi="Sylfaen" w:cs="Sylfaen"/>
          <w:lang w:val="ka-GE"/>
        </w:rPr>
        <w:t>,</w:t>
      </w:r>
      <w:r w:rsidR="000E5F6B" w:rsidRPr="000E5F6B">
        <w:rPr>
          <w:rFonts w:ascii="Sylfaen" w:hAnsi="Sylfaen" w:cs="Sylfaen"/>
        </w:rPr>
        <w:t>646</w:t>
      </w:r>
      <w:r w:rsidR="000E5F6B">
        <w:rPr>
          <w:rFonts w:ascii="Sylfaen" w:hAnsi="Sylfaen" w:cs="Sylfaen"/>
          <w:lang w:val="ka-GE"/>
        </w:rPr>
        <w:t>.</w:t>
      </w:r>
      <w:r w:rsidR="000E5F6B" w:rsidRPr="000E5F6B">
        <w:rPr>
          <w:rFonts w:ascii="Sylfaen" w:hAnsi="Sylfaen" w:cs="Sylfaen"/>
        </w:rPr>
        <w:t>5</w:t>
      </w:r>
      <w:r w:rsidR="000E5F6B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0E5F6B" w:rsidRPr="000E5F6B">
        <w:rPr>
          <w:rFonts w:ascii="Sylfaen" w:hAnsi="Sylfaen" w:cs="Sylfaen"/>
        </w:rPr>
        <w:t>983</w:t>
      </w:r>
      <w:r w:rsidR="000E5F6B">
        <w:rPr>
          <w:rFonts w:ascii="Sylfaen" w:hAnsi="Sylfaen" w:cs="Sylfaen"/>
          <w:lang w:val="ka-GE"/>
        </w:rPr>
        <w:t>,</w:t>
      </w:r>
      <w:r w:rsidR="000E5F6B" w:rsidRPr="000E5F6B">
        <w:rPr>
          <w:rFonts w:ascii="Sylfaen" w:hAnsi="Sylfaen" w:cs="Sylfaen"/>
        </w:rPr>
        <w:t>700</w:t>
      </w:r>
      <w:r w:rsidR="000E5F6B">
        <w:rPr>
          <w:rFonts w:ascii="Sylfaen" w:hAnsi="Sylfaen" w:cs="Sylfaen"/>
          <w:lang w:val="ka-GE"/>
        </w:rPr>
        <w:t xml:space="preserve">.1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FB7087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="000E5F6B" w:rsidRPr="000E5F6B">
        <w:rPr>
          <w:rFonts w:ascii="Sylfaen" w:hAnsi="Sylfaen" w:cs="Sylfaen"/>
          <w:lang w:val="ka-GE"/>
        </w:rPr>
        <w:t>243</w:t>
      </w:r>
      <w:r w:rsidR="000E5F6B">
        <w:rPr>
          <w:rFonts w:ascii="Sylfaen" w:hAnsi="Sylfaen" w:cs="Sylfaen"/>
          <w:lang w:val="ka-GE"/>
        </w:rPr>
        <w:t>,</w:t>
      </w:r>
      <w:r w:rsidR="000E5F6B" w:rsidRPr="000E5F6B">
        <w:rPr>
          <w:rFonts w:ascii="Sylfaen" w:hAnsi="Sylfaen" w:cs="Sylfaen"/>
          <w:lang w:val="ka-GE"/>
        </w:rPr>
        <w:t>946</w:t>
      </w:r>
      <w:r w:rsidR="000E5F6B">
        <w:rPr>
          <w:rFonts w:ascii="Sylfaen" w:hAnsi="Sylfaen" w:cs="Sylfaen"/>
          <w:lang w:val="ka-GE"/>
        </w:rPr>
        <w:t>.</w:t>
      </w:r>
      <w:r w:rsidR="000E5F6B" w:rsidRPr="000E5F6B">
        <w:rPr>
          <w:rFonts w:ascii="Sylfaen" w:hAnsi="Sylfaen" w:cs="Sylfaen"/>
          <w:lang w:val="ka-GE"/>
        </w:rPr>
        <w:t>4</w:t>
      </w:r>
      <w:r w:rsidR="000E5F6B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Pr="009531BC" w:rsidRDefault="005E0A5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სახელმწიფო ობლიგაციების ძირითადი თანხის დაფარვა (სებ-ის მიმართ ვალი) </w:t>
      </w:r>
      <w:r w:rsidR="00372A1B">
        <w:rPr>
          <w:rFonts w:ascii="Sylfaen" w:hAnsi="Sylfaen" w:cs="Sylfaen"/>
        </w:rPr>
        <w:t>2</w:t>
      </w:r>
      <w:r w:rsidR="00A770D1" w:rsidRPr="00FB7087">
        <w:rPr>
          <w:rFonts w:ascii="Sylfaen" w:hAnsi="Sylfaen" w:cs="Sylfaen"/>
        </w:rPr>
        <w:t>7</w:t>
      </w:r>
      <w:r w:rsidR="00F26066" w:rsidRPr="00FB7087">
        <w:rPr>
          <w:rFonts w:ascii="Sylfaen" w:hAnsi="Sylfaen" w:cs="Sylfaen"/>
          <w:lang w:val="ka-GE"/>
        </w:rPr>
        <w:t>,000.0 ათასი</w:t>
      </w:r>
      <w:r w:rsidR="00F26066"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F26066" w:rsidRPr="00C367E2" w:rsidRDefault="00F26066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531BC">
        <w:rPr>
          <w:rFonts w:ascii="Sylfaen" w:hAnsi="Sylfaen" w:cs="Sylfaen"/>
          <w:lang w:val="ka-GE"/>
        </w:rPr>
        <w:tab/>
      </w:r>
    </w:p>
    <w:p w:rsidR="00F26066" w:rsidRDefault="00F26066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2B6DAE" w:rsidRPr="00FB7087" w:rsidRDefault="002B6DAE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2B6DAE" w:rsidRDefault="002B6DAE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58BE" w:rsidRDefault="000858BE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</w:rPr>
      </w:pPr>
    </w:p>
    <w:p w:rsidR="00A93CD1" w:rsidRDefault="00A93CD1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4464CC" w:rsidRDefault="004464C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307471" w:rsidRDefault="00307471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1B9C" w:rsidRDefault="00081B9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1B9C" w:rsidRDefault="00081B9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1B9C" w:rsidRDefault="00081B9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1B9C" w:rsidRDefault="00081B9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1B9C" w:rsidRDefault="00081B9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081B9C" w:rsidRDefault="00081B9C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9E33C4" w:rsidRDefault="009E33C4" w:rsidP="00D62E87">
      <w:pPr>
        <w:spacing w:after="0" w:line="240" w:lineRule="auto"/>
        <w:jc w:val="center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F6697A" w:rsidRDefault="000340AB" w:rsidP="00D62E87">
      <w:pPr>
        <w:spacing w:after="0" w:line="240" w:lineRule="auto"/>
        <w:jc w:val="center"/>
        <w:rPr>
          <w:rFonts w:ascii="Sylfaen" w:hAnsi="Sylfaen"/>
          <w:b/>
        </w:rPr>
      </w:pPr>
      <w:r w:rsidRPr="00B4160B">
        <w:rPr>
          <w:rFonts w:ascii="Sylfaen" w:hAnsi="Sylfaen"/>
          <w:b/>
          <w:lang w:val="ka-GE"/>
        </w:rPr>
        <w:lastRenderedPageBreak/>
        <w:t>ხელმწიფო ვალის</w:t>
      </w:r>
      <w:r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861F1F">
        <w:rPr>
          <w:rFonts w:ascii="Sylfaen" w:hAnsi="Sylfaen"/>
          <w:b/>
        </w:rPr>
        <w:t>8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Pr="00B4160B">
        <w:rPr>
          <w:rFonts w:ascii="Sylfaen" w:hAnsi="Sylfaen"/>
          <w:b/>
          <w:lang w:val="ka-GE"/>
        </w:rPr>
        <w:t xml:space="preserve">წლის </w:t>
      </w:r>
      <w:r w:rsidR="00FA187E">
        <w:rPr>
          <w:rFonts w:ascii="Sylfaen" w:hAnsi="Sylfaen"/>
          <w:b/>
          <w:lang w:val="ka-GE"/>
        </w:rPr>
        <w:t xml:space="preserve">30 </w:t>
      </w:r>
      <w:r w:rsidR="00080A73">
        <w:rPr>
          <w:rFonts w:ascii="Sylfaen" w:hAnsi="Sylfaen"/>
          <w:b/>
          <w:lang w:val="ka-GE"/>
        </w:rPr>
        <w:t>სექტემბრის</w:t>
      </w:r>
      <w:r w:rsidR="00861F1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მდგომარეობით</w:t>
      </w:r>
    </w:p>
    <w:p w:rsidR="00FB7087" w:rsidRPr="00FB7087" w:rsidRDefault="00FB7087" w:rsidP="00D62E87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173BAA" w:rsidRPr="00081B9C" w:rsidRDefault="0053506B" w:rsidP="00081B9C">
      <w:pPr>
        <w:spacing w:after="0" w:line="240" w:lineRule="auto"/>
        <w:ind w:left="5040" w:firstLine="720"/>
        <w:jc w:val="right"/>
        <w:rPr>
          <w:rFonts w:ascii="Sylfaen" w:hAnsi="Sylfaen"/>
          <w:b/>
          <w:bCs/>
          <w:i/>
          <w:sz w:val="18"/>
          <w:szCs w:val="18"/>
          <w:lang w:val="ka-GE"/>
        </w:rPr>
      </w:pPr>
      <w:r w:rsidRPr="00081B9C">
        <w:rPr>
          <w:rFonts w:ascii="Sylfaen" w:hAnsi="Sylfaen"/>
          <w:b/>
          <w:bCs/>
          <w:i/>
          <w:sz w:val="18"/>
          <w:szCs w:val="18"/>
          <w:lang w:val="ka-GE"/>
        </w:rPr>
        <w:t xml:space="preserve">                                           </w:t>
      </w:r>
      <w:r w:rsidR="00173BAA" w:rsidRPr="00081B9C">
        <w:rPr>
          <w:rFonts w:ascii="Sylfaen" w:hAnsi="Sylfaen"/>
          <w:b/>
          <w:bCs/>
          <w:i/>
          <w:sz w:val="18"/>
          <w:szCs w:val="18"/>
          <w:lang w:val="ka-GE"/>
        </w:rPr>
        <w:t>ათასი ლარი</w:t>
      </w:r>
    </w:p>
    <w:p w:rsidR="00614B18" w:rsidRDefault="00614B18" w:rsidP="0053506B">
      <w:pPr>
        <w:spacing w:after="0" w:line="240" w:lineRule="auto"/>
        <w:ind w:left="5040" w:firstLine="720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</w:pPr>
    </w:p>
    <w:tbl>
      <w:tblPr>
        <w:tblW w:w="50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738"/>
        <w:gridCol w:w="2551"/>
      </w:tblGrid>
      <w:tr w:rsidR="00081B9C" w:rsidRPr="00081B9C" w:rsidTr="00081B9C">
        <w:trPr>
          <w:trHeight w:hRule="exact" w:val="288"/>
          <w:tblHeader/>
          <w:jc w:val="center"/>
        </w:trPr>
        <w:tc>
          <w:tcPr>
            <w:tcW w:w="369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614B18">
            <w:pPr>
              <w:ind w:left="7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0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ნაშთი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81B9C">
              <w:rPr>
                <w:rFonts w:ascii="Calibri" w:hAnsi="Calibri" w:cs="Calibri"/>
                <w:sz w:val="18"/>
                <w:szCs w:val="18"/>
              </w:rPr>
              <w:br/>
              <w:t xml:space="preserve">30.09.2018 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EBF1D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სახელმწიფოს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მიერ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და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სახელმწიფოს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გარანტიით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აღებული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ვალი</w:t>
            </w:r>
            <w:proofErr w:type="spellEnd"/>
          </w:p>
        </w:tc>
        <w:tc>
          <w:tcPr>
            <w:tcW w:w="1301" w:type="pct"/>
            <w:shd w:val="clear" w:color="000000" w:fill="EBF1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13,441,870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მრავალმხრივი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301" w:type="pct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9,580,598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მსოფლიო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ბანკი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 (WB)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5,145,515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სოფლის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მეურნეობის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ფონდი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77,878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სავალუტო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ფონდი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(IMF)  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164,192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რეკონსტრუქციისა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და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ბანკი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328,597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აზიის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ბანკი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2,786,050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ბანკი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 (EIB)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977,437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ევროკავშირი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(EU)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69,704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აზიის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ინფრასტრუქტურის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ბანკი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31,225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301" w:type="pct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2,220,254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38,428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20,857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552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40,002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16,095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166,234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23,596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418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უკრაინა</w:t>
            </w:r>
            <w:bookmarkStart w:id="0" w:name="_GoBack"/>
            <w:bookmarkEnd w:id="0"/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382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48,863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4,559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724,293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543,436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28,428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2,434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57,024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504,653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301" w:type="pct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1,307,550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1,307,550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სახელმწიფოს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გარანტიით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აღებული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301" w:type="pct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5,082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5,082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საერთაშორისო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სავალუტო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ფონდი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ეროვნული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ბანკი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1301" w:type="pct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328,385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EBF1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301" w:type="pct"/>
            <w:shd w:val="clear" w:color="000000" w:fill="EBF1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3,752,416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ეროვნული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ბანკისთვის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განკუთვნილი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ერთწლიანი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ყოველწლიურად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განახლებადი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სახელმწიფო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280,846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სხვადასხვა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ვადის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სახელმწიფო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ღია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ბაზრის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160,000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ფინანსთა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სამინისტროს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სახაზინო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516,757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ფინანსთა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სამინისტროს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სახაზინო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2,122,488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2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4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ისტორიული</w:t>
            </w:r>
            <w:proofErr w:type="spellEnd"/>
            <w:r w:rsidRPr="00081B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sz w:val="18"/>
                <w:szCs w:val="18"/>
              </w:rPr>
              <w:t>ვალი</w:t>
            </w:r>
            <w:proofErr w:type="spellEnd"/>
          </w:p>
        </w:tc>
        <w:tc>
          <w:tcPr>
            <w:tcW w:w="13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81B9C">
              <w:rPr>
                <w:rFonts w:ascii="Calibri" w:hAnsi="Calibri" w:cs="Calibri"/>
                <w:sz w:val="18"/>
                <w:szCs w:val="18"/>
              </w:rPr>
              <w:t>672,325</w:t>
            </w:r>
          </w:p>
        </w:tc>
      </w:tr>
      <w:tr w:rsidR="00081B9C" w:rsidRPr="00081B9C" w:rsidTr="00081B9C">
        <w:trPr>
          <w:trHeight w:hRule="exact" w:val="288"/>
          <w:jc w:val="center"/>
        </w:trPr>
        <w:tc>
          <w:tcPr>
            <w:tcW w:w="3699" w:type="pct"/>
            <w:gridSpan w:val="2"/>
            <w:shd w:val="clear" w:color="000000" w:fill="EBF1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1B9C">
              <w:rPr>
                <w:rFonts w:ascii="Sylfaen" w:hAnsi="Sylfaen" w:cs="Sylfaen"/>
                <w:b/>
                <w:bCs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301" w:type="pct"/>
            <w:shd w:val="clear" w:color="000000" w:fill="EBF1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B18" w:rsidRPr="00081B9C" w:rsidRDefault="00614B18" w:rsidP="00081B9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1B9C">
              <w:rPr>
                <w:rFonts w:ascii="Calibri" w:hAnsi="Calibri" w:cs="Calibri"/>
                <w:b/>
                <w:bCs/>
                <w:sz w:val="18"/>
                <w:szCs w:val="18"/>
              </w:rPr>
              <w:t>17,194,286</w:t>
            </w:r>
          </w:p>
        </w:tc>
      </w:tr>
    </w:tbl>
    <w:p w:rsidR="00614B18" w:rsidRDefault="00614B18" w:rsidP="00614B18">
      <w:pPr>
        <w:spacing w:after="0" w:line="240" w:lineRule="auto"/>
        <w:ind w:left="5040" w:firstLine="720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</w:pPr>
    </w:p>
    <w:p w:rsidR="0053506B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p w:rsidR="000340AB" w:rsidRDefault="000340AB" w:rsidP="00D62E87">
      <w:pPr>
        <w:spacing w:after="0" w:line="240" w:lineRule="auto"/>
        <w:rPr>
          <w:rFonts w:ascii="Sylfaen" w:hAnsi="Sylfaen" w:cs="Sylfaen"/>
          <w:i/>
          <w:sz w:val="16"/>
          <w:szCs w:val="16"/>
          <w:lang w:val="ka-GE"/>
        </w:rPr>
      </w:pPr>
      <w:proofErr w:type="spellStart"/>
      <w:proofErr w:type="gramStart"/>
      <w:r w:rsidRPr="00B01FEA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Pr="00B01FEA">
        <w:rPr>
          <w:i/>
          <w:sz w:val="16"/>
          <w:szCs w:val="16"/>
        </w:rPr>
        <w:t xml:space="preserve">: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  <w:r w:rsidR="002B6DAE">
        <w:rPr>
          <w:rFonts w:ascii="Sylfaen" w:hAnsi="Sylfaen" w:cs="Sylfaen"/>
          <w:i/>
          <w:sz w:val="16"/>
          <w:szCs w:val="16"/>
          <w:lang w:val="ka-GE"/>
        </w:rPr>
        <w:t>;</w:t>
      </w:r>
    </w:p>
    <w:p w:rsidR="009B1B48" w:rsidRPr="00D57A95" w:rsidRDefault="002B6DAE" w:rsidP="00D62E87">
      <w:pPr>
        <w:autoSpaceDE w:val="0"/>
        <w:autoSpaceDN w:val="0"/>
        <w:adjustRightInd w:val="0"/>
        <w:spacing w:after="0" w:line="240" w:lineRule="auto"/>
        <w:ind w:left="720"/>
        <w:rPr>
          <w:rFonts w:ascii="Sylfaen" w:hAnsi="Sylfaen" w:cs="Sylfaen"/>
          <w:i/>
          <w:sz w:val="16"/>
          <w:szCs w:val="16"/>
          <w:lang w:val="ka-GE"/>
        </w:rPr>
      </w:pPr>
      <w:proofErr w:type="gramStart"/>
      <w:r w:rsidRPr="00D57A95">
        <w:rPr>
          <w:rFonts w:ascii="Sylfaen" w:hAnsi="Sylfaen" w:cs="Sylfaen"/>
          <w:i/>
          <w:sz w:val="16"/>
          <w:szCs w:val="16"/>
        </w:rPr>
        <w:t>ე</w:t>
      </w:r>
      <w:proofErr w:type="gramEnd"/>
      <w:r w:rsidRPr="00D57A95">
        <w:rPr>
          <w:rFonts w:ascii="Sylfaen" w:hAnsi="Sylfaen" w:cs="Sylfaen"/>
          <w:i/>
          <w:sz w:val="16"/>
          <w:szCs w:val="16"/>
        </w:rPr>
        <w:t>. წ. „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ისტორიული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ვალის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“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მოცულობა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 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საორიენტაციოა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ვინაიდან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ამ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კატეგორიის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უმეტესი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ნაწილი</w:t>
      </w:r>
      <w:proofErr w:type="spellEnd"/>
      <w:r w:rsidRPr="00D57A95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D57A95">
        <w:rPr>
          <w:rFonts w:ascii="Sylfaen" w:hAnsi="Sylfaen" w:cs="Sylfaen"/>
          <w:i/>
          <w:sz w:val="16"/>
          <w:szCs w:val="16"/>
        </w:rPr>
        <w:t>დასაზუსტებელია</w:t>
      </w:r>
      <w:proofErr w:type="spellEnd"/>
    </w:p>
    <w:sectPr w:rsidR="009B1B48" w:rsidRPr="00D57A95" w:rsidSect="00081B9C">
      <w:footerReference w:type="default" r:id="rId12"/>
      <w:pgSz w:w="11907" w:h="16839" w:code="9"/>
      <w:pgMar w:top="630" w:right="1275" w:bottom="709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58" w:rsidRDefault="00541658" w:rsidP="00400BED">
      <w:pPr>
        <w:spacing w:after="0" w:line="240" w:lineRule="auto"/>
      </w:pPr>
      <w:r>
        <w:separator/>
      </w:r>
    </w:p>
  </w:endnote>
  <w:endnote w:type="continuationSeparator" w:id="0">
    <w:p w:rsidR="00541658" w:rsidRDefault="00541658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84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4E6" w:rsidRDefault="004154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54E6" w:rsidRDefault="0041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58" w:rsidRDefault="00541658" w:rsidP="00400BED">
      <w:pPr>
        <w:spacing w:after="0" w:line="240" w:lineRule="auto"/>
      </w:pPr>
      <w:r>
        <w:separator/>
      </w:r>
    </w:p>
  </w:footnote>
  <w:footnote w:type="continuationSeparator" w:id="0">
    <w:p w:rsidR="00541658" w:rsidRDefault="00541658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96C"/>
    <w:rsid w:val="00030CF6"/>
    <w:rsid w:val="000340AB"/>
    <w:rsid w:val="0003606D"/>
    <w:rsid w:val="00036CFD"/>
    <w:rsid w:val="00037587"/>
    <w:rsid w:val="00037DB7"/>
    <w:rsid w:val="00040C4B"/>
    <w:rsid w:val="00041D5B"/>
    <w:rsid w:val="00044F01"/>
    <w:rsid w:val="000458CE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A14"/>
    <w:rsid w:val="0007519C"/>
    <w:rsid w:val="000771C9"/>
    <w:rsid w:val="00080A73"/>
    <w:rsid w:val="0008119F"/>
    <w:rsid w:val="00081B9C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F64"/>
    <w:rsid w:val="000B16F8"/>
    <w:rsid w:val="000B2189"/>
    <w:rsid w:val="000B567A"/>
    <w:rsid w:val="000B6954"/>
    <w:rsid w:val="000B6CAA"/>
    <w:rsid w:val="000C139F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7E9D"/>
    <w:rsid w:val="001A2AFB"/>
    <w:rsid w:val="001A3600"/>
    <w:rsid w:val="001A397F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61BA"/>
    <w:rsid w:val="001E62A2"/>
    <w:rsid w:val="001E6933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4E6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17A6"/>
    <w:rsid w:val="004D26F9"/>
    <w:rsid w:val="004D7B47"/>
    <w:rsid w:val="004E2497"/>
    <w:rsid w:val="004E422E"/>
    <w:rsid w:val="004F2321"/>
    <w:rsid w:val="004F5AB2"/>
    <w:rsid w:val="0050185A"/>
    <w:rsid w:val="00501E22"/>
    <w:rsid w:val="005131CE"/>
    <w:rsid w:val="00515451"/>
    <w:rsid w:val="005165EB"/>
    <w:rsid w:val="00523560"/>
    <w:rsid w:val="0053399C"/>
    <w:rsid w:val="00534D33"/>
    <w:rsid w:val="0053506B"/>
    <w:rsid w:val="005370EC"/>
    <w:rsid w:val="00541658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42C4"/>
    <w:rsid w:val="00614B18"/>
    <w:rsid w:val="00615CCA"/>
    <w:rsid w:val="006168BD"/>
    <w:rsid w:val="006202AE"/>
    <w:rsid w:val="006204B4"/>
    <w:rsid w:val="00621E8E"/>
    <w:rsid w:val="00623F0F"/>
    <w:rsid w:val="00626122"/>
    <w:rsid w:val="006268F4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1B1E"/>
    <w:rsid w:val="006B398B"/>
    <w:rsid w:val="006C2FB0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638B2"/>
    <w:rsid w:val="00764192"/>
    <w:rsid w:val="007643C1"/>
    <w:rsid w:val="00771909"/>
    <w:rsid w:val="007720D8"/>
    <w:rsid w:val="00780B7F"/>
    <w:rsid w:val="0078542F"/>
    <w:rsid w:val="00787C46"/>
    <w:rsid w:val="00790043"/>
    <w:rsid w:val="007A0D67"/>
    <w:rsid w:val="007A32FD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6C90"/>
    <w:rsid w:val="0083184C"/>
    <w:rsid w:val="008330FC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FD3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816B7"/>
    <w:rsid w:val="00982850"/>
    <w:rsid w:val="00982E29"/>
    <w:rsid w:val="00986AAF"/>
    <w:rsid w:val="009917B8"/>
    <w:rsid w:val="00991B14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404B7"/>
    <w:rsid w:val="00A45EB8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D43"/>
    <w:rsid w:val="00AD5E57"/>
    <w:rsid w:val="00AE3BBE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30876"/>
    <w:rsid w:val="00B3130D"/>
    <w:rsid w:val="00B32432"/>
    <w:rsid w:val="00B44750"/>
    <w:rsid w:val="00B44900"/>
    <w:rsid w:val="00B460EB"/>
    <w:rsid w:val="00B502E6"/>
    <w:rsid w:val="00B5085B"/>
    <w:rsid w:val="00B55FD3"/>
    <w:rsid w:val="00B60154"/>
    <w:rsid w:val="00B61F3B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7F88"/>
    <w:rsid w:val="00C2136E"/>
    <w:rsid w:val="00C21AE9"/>
    <w:rsid w:val="00C31756"/>
    <w:rsid w:val="00C31F7F"/>
    <w:rsid w:val="00C367E2"/>
    <w:rsid w:val="00C36A3D"/>
    <w:rsid w:val="00C37E2F"/>
    <w:rsid w:val="00C42DBB"/>
    <w:rsid w:val="00C44420"/>
    <w:rsid w:val="00C4579F"/>
    <w:rsid w:val="00C52BA0"/>
    <w:rsid w:val="00C644C6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602D"/>
    <w:rsid w:val="00C9708E"/>
    <w:rsid w:val="00CA4A72"/>
    <w:rsid w:val="00CA65F9"/>
    <w:rsid w:val="00CA70A1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3A41"/>
    <w:rsid w:val="00CF4D9F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609D"/>
    <w:rsid w:val="00D261E7"/>
    <w:rsid w:val="00D26939"/>
    <w:rsid w:val="00D31A08"/>
    <w:rsid w:val="00D32336"/>
    <w:rsid w:val="00D3238E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E2F"/>
    <w:rsid w:val="00EB4097"/>
    <w:rsid w:val="00EB7421"/>
    <w:rsid w:val="00EC0C5D"/>
    <w:rsid w:val="00EC2EC2"/>
    <w:rsid w:val="00EC5B6F"/>
    <w:rsid w:val="00EC701B"/>
    <w:rsid w:val="00ED0545"/>
    <w:rsid w:val="00ED0857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9780D"/>
  <w15:docId w15:val="{F4BCB527-CE02-4BEA-913A-535767C5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21%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>
                        <a:solidFill>
                          <a:sysClr val="windowText" lastClr="000000"/>
                        </a:solidFill>
                      </a:rPr>
                      <a:t>მრავალმხრივი
57%</a:t>
                    </a:r>
                    <a:endParaRPr lang="ka-GE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/>
                      <a:t>ორმხრივი
13%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  <a:endParaRPr lang="ka-GE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57533861778982"/>
          <c:y val="0.25790341207349082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/>
                      <a:pPr>
                        <a:defRPr sz="9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-5.3013632493262755E-2"/>
                  <c:y val="2.407769028871394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ka-GE" sz="1000" b="0" i="0" u="none" strike="noStrike" baseline="0"/>
              <a:t>საპროცენტო განაკვეთის ტიპი</a:t>
            </a:r>
            <a:endParaRPr lang="en-US" sz="10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61626080522"/>
          <c:y val="0.16151019584090451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dLbl>
              <c:idx val="0"/>
              <c:layout>
                <c:manualLayout>
                  <c:x val="-0.15265112131253863"/>
                  <c:y val="-0.14566777710478498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62%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11-4977-804C-34D50D70DA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38%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11-4977-804C-34D50D70D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10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10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DD4B-F19C-4666-A963-3204B9A4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Shanshiashvili</dc:creator>
  <cp:lastModifiedBy>Inga Gurgenidze</cp:lastModifiedBy>
  <cp:revision>9</cp:revision>
  <cp:lastPrinted>2018-03-21T10:15:00Z</cp:lastPrinted>
  <dcterms:created xsi:type="dcterms:W3CDTF">2018-10-12T08:55:00Z</dcterms:created>
  <dcterms:modified xsi:type="dcterms:W3CDTF">2018-10-19T07:42:00Z</dcterms:modified>
</cp:coreProperties>
</file>